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line="300" w:lineRule="exact"/>
        <w:jc w:val="right"/>
        <w:outlineLvl w:val="0"/>
        <w:rPr>
          <w:rFonts w:ascii="Liberation Serif" w:hAnsi="Liberation Serif" w:cs="Liberation Serif"/>
          <w:b/>
          <w:bCs/>
          <w:color w:val="auto"/>
          <w:sz w:val="24"/>
          <w:szCs w:val="24"/>
          <w:highlight w:val="white"/>
        </w:rPr>
      </w:pPr>
      <w:r>
        <w:rPr>
          <w:highlight w:val="white"/>
        </w:rPr>
      </w:r>
      <w:bookmarkStart w:id="0" w:name="undefined"/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hyperlink w:tooltip="Приложение5" w:anchor="Приложение4" w:history="1">
        <w:r>
          <w:rPr>
            <w:rStyle w:val="174"/>
            <w:rFonts w:ascii="Liberation Serif" w:hAnsi="Liberation Serif" w:eastAsia="Liberation Serif" w:cs="Liberation Serif"/>
            <w:b/>
            <w:bCs/>
            <w:color w:val="auto"/>
            <w:sz w:val="24"/>
            <w:szCs w:val="24"/>
            <w:highlight w:val="white"/>
          </w:rPr>
          <w:t xml:space="preserve">Приложение</w:t>
        </w:r>
      </w:hyperlink>
      <w:r>
        <w:rPr>
          <w:rStyle w:val="174"/>
          <w:rFonts w:ascii="Liberation Serif" w:hAnsi="Liberation Serif" w:eastAsia="Liberation Serif" w:cs="Liberation Serif"/>
          <w:b/>
          <w:bCs/>
          <w:color w:val="auto"/>
          <w:sz w:val="24"/>
          <w:szCs w:val="24"/>
          <w:highlight w:val="white"/>
        </w:rPr>
        <w:t xml:space="preserve"> 5</w:t>
      </w:r>
      <w:r>
        <w:rPr>
          <w:rStyle w:val="174"/>
          <w:rFonts w:ascii="Liberation Serif" w:hAnsi="Liberation Serif" w:eastAsia="Liberation Serif" w:cs="Liberation Serif"/>
          <w:b/>
          <w:bCs/>
          <w:color w:val="auto"/>
          <w:sz w:val="24"/>
          <w:szCs w:val="24"/>
          <w:highlight w:val="white"/>
        </w:rPr>
        <w:t xml:space="preserve"> </w:t>
      </w:r>
      <w:bookmarkEnd w:id="0"/>
      <w:r>
        <w:rPr>
          <w:rStyle w:val="174"/>
          <w:rFonts w:ascii="Liberation Serif" w:hAnsi="Liberation Serif" w:cs="Liberation Serif"/>
          <w:b/>
          <w:bCs/>
          <w:color w:val="auto"/>
          <w:sz w:val="24"/>
          <w:szCs w:val="24"/>
          <w:highlight w:val="white"/>
        </w:rPr>
      </w:r>
      <w:r>
        <w:rPr>
          <w:rStyle w:val="174"/>
          <w:rFonts w:ascii="Liberation Serif" w:hAnsi="Liberation Serif" w:cs="Liberation Serif"/>
          <w:b/>
          <w:bCs/>
          <w:color w:val="auto"/>
          <w:sz w:val="24"/>
          <w:szCs w:val="24"/>
          <w:highlight w:val="white"/>
        </w:rPr>
      </w:r>
    </w:p>
    <w:tbl>
      <w:tblPr>
        <w:tblW w:w="100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4471"/>
        <w:gridCol w:w="306"/>
        <w:gridCol w:w="4499"/>
      </w:tblGrid>
      <w:tr>
        <w:trPr>
          <w:trHeight w:val="1425"/>
        </w:trPr>
        <w:tblPrEx/>
        <w:tc>
          <w:tcPr>
            <w:tcW w:w="100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Анкета клиента: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❑ индивидуального предпринимателя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❑ физического лица, занимающегося в установленном законодательством РФ порядке частной практикой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резидент РФ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    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нерезидент РФ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❑ первичное заполнение анкеты    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❑ обновление сведений анкеты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342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Фамилия, имя и отчество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(при наличии последнего)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342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Дата рождения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342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Гражданство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1290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4.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Реквизиты документа, удостоверяющего личность: серия (при наличии) и номер документа, дата выдачи документа, наименование органа, выдавшего документ, и код подразделения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2454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5.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Данные документа, подтверждающего право иностранного гражданина или лица без гражданства на пребывание (п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роживание) в Российской Федерации (данные миграционной карты в случае отсутствия иных документов):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  <w:t xml:space="preserve">Устанавливаются в отношении иностранных граждан и лиц без гражданств</w:t>
            </w:r>
            <w:r>
              <w:rPr>
                <w:rFonts w:ascii="Liberation Serif" w:hAnsi="Liberation Serif" w:eastAsia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  <w:t xml:space="preserve">а, находящихся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международными договорами РФ и законодательством РФ.</w:t>
            </w:r>
            <w:r>
              <w:rPr>
                <w:rFonts w:ascii="Liberation Serif" w:hAnsi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iCs/>
                <w:color w:val="7f7f7f" w:themeColor="text1" w:themeTint="8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645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6.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Адрес места жительства (регистрации) или места пребывания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300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7.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Почтовый адрес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(с обязательным указанием индекса)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300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8.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ИНН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(при наличии)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300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9.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СНИЛС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510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10.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Номера телефонов и факсов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457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Иная контактная информация (адрес электронной почты)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jc w:val="righ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rPr>
          <w:trHeight w:val="833"/>
        </w:trPr>
        <w:tblPrEx/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vertAlign w:val="superscript"/>
              </w:rPr>
              <w:t xml:space="preserve">1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Принадлежность к иностранным публичным должностным лицам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указываются должность, наименование, адрес работодателя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840"/>
        </w:trPr>
        <w:tblPrEx/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Принадлежность к должностным лицам публичных международных организаций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указываются должность, наименование, адрес работодателя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830"/>
        </w:trPr>
        <w:tblPrEx/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Принадлежность к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оссийским публичным должностным лицам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указываются должность, наименование, адрес работодателя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558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Принадлежность к супругам, близким родственникам по прямой восходящей и н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исходящей линии (родители и дети, дедушка, бабушка и внуки), полнородным и неполнородным (имеющим общих отца или мать) братьям и сестрам, усыновителям и усыновленным иностранных публичных должностных лиц/должностных лиц публичных международных организаций/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оссийским публичным должностным лицам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pStyle w:val="1_633"/>
              <w:tabs>
                <w:tab w:val="left" w:pos="14472" w:leader="none"/>
              </w:tabs>
              <w:spacing w:before="0" w:beforeAutospacing="0" w:after="0" w:afterAutospacing="0"/>
              <w:ind w:right="74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(указываются статус лица, к которому имеется принадлежность, и степень родства)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844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4.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Действую (не действую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 в интересах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(к выгоде) публичного должностного лица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 (указываются статус лица, Ф.И.О. (при наличии) и должность)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1126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5.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Источники происхождения денежных средств, участвующих в проведении операци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й, в случае принадлежности к публичному должностному лицу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982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6.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Наименования государств/территорий (в случае наличия счетов в банках, зарегистрированных вне территории РФ указать данные государства / территории)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327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noWrap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17.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 w:themeFill="background1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Сведения о целях установления и предполагаемом характере деловых отношений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835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Брокерское обслуживание                        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Долгосрочны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й характер отношений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Депозитарное обслуживание                    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Кра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ткосрочный характер отношений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Доверительное управление                       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Иное: __________________________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551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18.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highlight w:val="white"/>
              </w:rPr>
              <w:t xml:space="preserve">Сведения о целях финансово-хозяйственной деятельности (сведения о планируемых операциях)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r>
          </w:p>
        </w:tc>
      </w:tr>
      <w:tr>
        <w:trPr>
          <w:trHeight w:val="783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Получение прибыли от операций с ценными бумагами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Получение дивидендов, иного дохода по ценным бумагам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Иное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: ___________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__________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_______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450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9.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Сведения о финансовом положении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Отметьте, пожалуйста, какие из перечисленных сведений (документов) Вы прикладываете к анкете: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❑ копии годовой бухгалтерской отчетности (бухгалтерский баланс, отчет о финансовом результате), и (или) копии годовой (либо квартальной) налоговой декларации с отметками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и                                                                                           (или)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❑ справку об исполнении как налогоплательщиком обязанности по уплате налогов, сборов, пеней, штрафов, выданную налоговым органом;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и (или)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❑ сведения об отсутствии производства по делу о несостоятельности (банкротстве), вступивших в силу решений судебных органов о признании несостоятельным (банкротом) на дату представления документов;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и (или)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❑ сведения об отсутствии фактов неисполнения своих денежных обязательств по причине отсутствия денежных средств на банковских счетах.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rPr>
          <w:trHeight w:val="4244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20.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Сведения о деловой репутации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4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Отметьте, пожалуйста, какие отзывы Вы прикладываете к анкете: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Других клиентов Общества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, имеющих с Вами деловые отношения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  <w:t xml:space="preserve">(в случае невозможности получения таких отзывов отметьте, пожалуйста, следующее поле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: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Отсутствует возможность получения отзывов других кли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ентов Общества;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  <w:t xml:space="preserve">и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(или)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От других кредитных организаций (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некредитных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финансовых организаций), в которых Вы ранее находились на обслуживании, с информацией этих организаций об оценке Вашей деловой репутации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  <w:t xml:space="preserve">(в случае невозможности получения таких отзывов отметьте, пожалуйста, следующее поле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: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Отсутствует возможность получения отзывов от ранее обслуживавших кредитных организаций (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некредитных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финансовых организаций).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315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/>
            <w:noWrap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21.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/>
            <w:noWrap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Сведения о наличии п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редставителей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rPr>
          <w:trHeight w:val="1032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Представители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отсутствуют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П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редставители присутствуют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  <w:t xml:space="preserve">(При таком ответе заполняется соответствующая форма «Ан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кета представителя» на каждого п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редставителя отдельно)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315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vertAlign w:val="superscript"/>
              </w:rPr>
              <w:t xml:space="preserve">2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Сведения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 о в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ыгодоприобретателях             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rPr>
          <w:trHeight w:val="1336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Не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действую к выгоде другого лица.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се операции проводятся к со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бственной выгоде и за свой счет.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Действую к выгоде другого лица.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br/>
              <w:t xml:space="preserve">(При таком ответе заполняется соответствующая форма «Анкета вы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годоприобретателя»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на каждого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в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ыго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доприобретателя отдельно)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675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23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vertAlign w:val="superscript"/>
              </w:rPr>
              <w:t xml:space="preserve">3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Сведения о б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енефициарных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 владельцах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(наличие б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енефициарного владельца подт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верждается, в том числе по п. 22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)            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rPr>
          <w:trHeight w:val="1124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Я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сам (сама) являюсь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своим бенефициарным владельцем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Решения, принимаемые мной в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рамках деловых отношений с Обществом,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контролируются (будут контролироваться) другим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физическим лицом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(При таком ответе заполняется соответствующая форма «Анкета бенефициарного владельца»)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567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4.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Сведения о регистрации в качестве индивидуального предпринимателя: основной государственный регистрационный номер записи о государственной регистрации индивидуального предпринимателя согласно свидетельству о государственной регистрации физ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ического лица в качестве индивидуального предпринимателя (свидетельству о внесении записи в единый государственный реестр индивидуальных предпринимателей записи об индивидуальном предпринимателе, зарегистрированном до 1 января 2004 года), место регистрации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1182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5.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Сведения о лицензии на право осуществления деятельности, подлежащей лицензированию: вид, номер, дата выдачи лицензии; кем выдана; срок действия; перечень видов лицензируемой деятельности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846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26.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Доменное имя, указатель страницы сайта в сети «Интернет», с использованием которых клиентом оказываются услуги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1148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27.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Сведения о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лице в целях отнесения клиента к категории клиента – иностранного налогоплательщика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iCs/>
                <w:color w:val="595959" w:themeColor="text1" w:themeTint="A6"/>
                <w:sz w:val="24"/>
                <w:szCs w:val="24"/>
                <w:highlight w:val="white"/>
              </w:rPr>
              <w:t xml:space="preserve">Сведения предоставляются в соответствии с Федеральным законом</w:t>
            </w:r>
            <w:r>
              <w:rPr>
                <w:rFonts w:ascii="Liberation Serif" w:hAnsi="Liberation Serif" w:eastAsia="Liberation Serif" w:cs="Liberation Serif"/>
                <w:i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bCs/>
                <w:iCs/>
                <w:color w:val="595959" w:themeColor="text1" w:themeTint="A6"/>
                <w:sz w:val="24"/>
                <w:szCs w:val="24"/>
                <w:highlight w:val="white"/>
              </w:rPr>
              <w:t xml:space="preserve">от 28 июня 2014 г. N 173-ФЗ «Об особенностях осущес</w:t>
            </w:r>
            <w:r>
              <w:rPr>
                <w:rFonts w:ascii="Liberation Serif" w:hAnsi="Liberation Serif" w:eastAsia="Liberation Serif" w:cs="Liberation Serif"/>
                <w:b/>
                <w:bCs/>
                <w:iCs/>
                <w:color w:val="595959" w:themeColor="text1" w:themeTint="A6"/>
                <w:sz w:val="24"/>
                <w:szCs w:val="24"/>
                <w:highlight w:val="white"/>
              </w:rPr>
              <w:t xml:space="preserve">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</w:t>
            </w:r>
            <w:r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iCs/>
                <w:sz w:val="24"/>
                <w:szCs w:val="24"/>
                <w:highlight w:val="white"/>
              </w:rPr>
            </w:r>
          </w:p>
        </w:tc>
      </w:tr>
      <w:tr>
        <w:trPr>
          <w:trHeight w:val="407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27.1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Сведения о наличии статуса налогового резидента иностранного государства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Нет, являюсь налоговым резидентом только Российской Федерации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Да, являюсь налоговым резидентом иностранного государства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казывается наименование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иностранного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государств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а: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 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407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27</w:t>
            </w: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.2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Сведения о наличии гражданства иностранного государства: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  <w:shd w:val="clear" w:color="auto" w:fill="ffffff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указывается наименование иностранного государства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  <w:shd w:val="clear" w:color="auto" w:fill="ffffff"/>
              </w:rPr>
            </w:r>
          </w:p>
        </w:tc>
      </w:tr>
      <w:tr>
        <w:trPr>
          <w:trHeight w:val="407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27</w:t>
            </w: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.3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</w:tcPr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аличие разрешения на постоянное пребывание (вида на жительство) в иностранном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государстве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например, карточка постоя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нного жителя США («Green Card»)):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</w:p>
          <w:p>
            <w:pPr>
              <w:shd w:val="clear" w:color="auto" w:fill="ffffff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407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27</w:t>
            </w: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.4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vertAlign w:val="superscript"/>
              </w:rPr>
              <w:t xml:space="preserve">4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</w:tcPr>
          <w:p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Соответствие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критериям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«долгосрочного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пребывания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иностранном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государстве»,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</w:p>
          <w:p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т.е.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нахождение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на территории этого государства не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менее срока, установленного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законодательством иностранного государства для признания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  <w:szCs w:val="24"/>
                <w:highlight w:val="white"/>
              </w:rPr>
              <w:t xml:space="preserve">налогоплательщиком – налоговым резидентом иностранного государства.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</w:p>
          <w:p>
            <w:pPr>
              <w:shd w:val="clear" w:color="auto" w:fill="ffffff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Нет</w:t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trHeight w:val="407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 w:themeFill="background1" w:themeFillShade="F2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sz w:val="24"/>
                <w:szCs w:val="24"/>
                <w:highlight w:val="white"/>
              </w:rPr>
              <w:t xml:space="preserve">28.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 w:themeFill="background1" w:themeFillShade="F2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4"/>
                <w:szCs w:val="24"/>
                <w:highlight w:val="white"/>
              </w:rPr>
              <w:t xml:space="preserve">Признаки принадлежности к категории налогового резидента США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rPr>
          <w:trHeight w:val="407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extDirection w:val="lrTb"/>
          </w:tcPr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вляюсь гражданином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США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(в случае наличия более одного гражданства);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имею разрешение на постоянное пребывание в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США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  <w:lang w:val="en-US"/>
              </w:rPr>
              <w:t xml:space="preserve">G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reencard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);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страна моего рождения является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США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имею фактический адрес проживания, адрес регистрации или почтовый адрес (в том числе абонентский почтовый ящик) на территории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США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имею адрес «для передачи» почтовых отправлений или адрес «до востребования» на территории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США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, который не является моим фактическим адресом или адресом проживания;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имею действующий номер контактного телефона на территории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США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имею долгосрочные платежные инструкции по перечислению денежных средств на счет в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США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white"/>
              </w:rPr>
              <w:t xml:space="preserve">❑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мной выдана доверенность или мной предоставлены полномочия на подписание документов от моего имени физическому лицу, имеющему адрес в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США.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rPr>
          <w:trHeight w:val="407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 w:themeFill="background1" w:themeFillShade="F2"/>
            <w:noWrap w:val="false"/>
            <w:textDirection w:val="lrTb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29.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 w:themeFill="background1" w:themeFillShade="F2"/>
            <w:noWrap w:val="false"/>
            <w:textDirection w:val="lrTb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Иные сведения: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rPr>
          <w:trHeight w:val="688"/>
        </w:trPr>
        <w:tblPrEx/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  <w:tc>
          <w:tcPr>
            <w:tcW w:w="9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Банковские реквизиты для перечисления доходов по ценным бумагам: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асчетный счет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 банке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БИК банка                                                      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ИНН банка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Корреспондентский счет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 w:line="300" w:lineRule="exact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Иное: ________________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280" w:lineRule="exact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vertAlign w:val="superscript"/>
        </w:rPr>
      </w:r>
      <w:r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r>
      <w:r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r>
    </w:p>
    <w:p>
      <w:pPr>
        <w:spacing w:before="0" w:beforeAutospacing="0" w:after="0" w:afterAutospacing="0" w:line="280" w:lineRule="exact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vertAlign w:val="superscript"/>
        </w:rPr>
        <w:t xml:space="preserve">1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Публичные должностные лица (ПДЛ) включают в себя категории: ИПДЛ, МПДЛ, РПДЛ.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tbl>
      <w:tblPr>
        <w:tblW w:w="101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112"/>
      </w:tblGrid>
      <w:tr>
        <w:trPr>
          <w:trHeight w:val="915"/>
        </w:trPr>
        <w:tblPrEx/>
        <w:tc>
          <w:tcPr>
            <w:tcW w:w="10112" w:type="dxa"/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 w:line="280" w:lineRule="exact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Иностранное публичное должностное лицо (ИПДЛ) означает любое назначаемое или избираемое лицо, занимающее какую-либо д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rPr>
          <w:trHeight w:val="463"/>
        </w:trPr>
        <w:tblPrEx/>
        <w:tc>
          <w:tcPr>
            <w:tcW w:w="10112" w:type="dxa"/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 w:line="280" w:lineRule="exact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Должностное лицо публичной международной организации (МПДЛ) - физическое лицо, являющееся должностным лицом публичной международной организации.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  <w:tr>
        <w:trPr>
          <w:trHeight w:val="1419"/>
        </w:trPr>
        <w:tblPrEx/>
        <w:tc>
          <w:tcPr>
            <w:tcW w:w="10112" w:type="dxa"/>
            <w:shd w:val="clear" w:color="ffffff" w:fill="ffffff"/>
            <w:noWrap w:val="false"/>
            <w:textDirection w:val="lrTb"/>
          </w:tcPr>
          <w:p>
            <w:pPr>
              <w:spacing w:before="0" w:beforeAutospacing="0" w:after="0" w:afterAutospacing="0" w:line="280" w:lineRule="exact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Российс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кое публичное должностное лицо (РПДЛ) - лицо, замещающее (занимающее) государственную должность РФ, должность члена Совета директоров Центрального банка РФ, должность федеральной государственной службы, назначение на которую и освобождение от которой осуще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ствляются Президентом РФ или Правительством РФ, должность в Центральном банке РФ, государственной корпорации или иной организации, созданной РФ на основании федерального закона, включенную в соответствующий перечень должностей, определяемый Президентом РФ.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280" w:lineRule="exact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vertAlign w:val="superscript"/>
        </w:rPr>
        <w:t xml:space="preserve">2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Выгодоприобретатель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spacing w:before="0" w:beforeAutospacing="0" w:after="0" w:afterAutospacing="0" w:line="280" w:lineRule="exact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  <w:vertAlign w:val="superscript"/>
        </w:rPr>
        <w:t xml:space="preserve">3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Бен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ефициарный владелец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spacing w:before="0" w:beforeAutospacing="0" w:after="0" w:afterAutospacing="0" w:line="280" w:lineRule="exact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Бенефициарным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spacing w:before="0" w:beforeAutospacing="0" w:after="0" w:afterAutospacing="0" w:line="300" w:lineRule="exact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tbl>
      <w:tblPr>
        <w:tblW w:w="9828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>
        <w:trPr>
          <w:trHeight w:val="309"/>
        </w:trPr>
        <w:tblPrEx/>
        <w:tc>
          <w:tcPr>
            <w:tcW w:w="9828" w:type="dxa"/>
            <w:shd w:val="clear" w:color="000000" w:fill="f2f2f2"/>
            <w:noWrap w:val="false"/>
            <w:textDirection w:val="lrTb"/>
          </w:tcPr>
          <w:p>
            <w:pPr>
              <w:spacing w:before="0" w:beforeAutospacing="0" w:after="0" w:afterAutospacing="0" w:line="26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t xml:space="preserve">Достоверность вышеприведенной информации подтверждаю. 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  <w:br/>
              <w:t xml:space="preserve">При изменении любых сведений, указанных в данной анкете, обязуюсь сообщить о таких изменениях в письменной форме в течение 7 рабочих дней.</w:t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240" w:lineRule="exact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tbl>
      <w:tblPr>
        <w:tblW w:w="98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58"/>
        <w:gridCol w:w="5170"/>
      </w:tblGrid>
      <w:tr>
        <w:trPr>
          <w:trHeight w:val="793"/>
        </w:trPr>
        <w:tblPrEx/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/>
            <w:noWrap/>
            <w:textDirection w:val="lrTb"/>
            <w:vAlign w:val="center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5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2f2f2"/>
            <w:noWrap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  <w:lang w:val="en-US"/>
              </w:rPr>
              <w:t xml:space="preserve">_____________________________________</w:t>
            </w:r>
            <w:r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  <w:t xml:space="preserve">подпись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rPr>
          <w:trHeight w:val="300"/>
        </w:trPr>
        <w:tblPrEx/>
        <w:tc>
          <w:tcPr>
            <w:tcW w:w="4658" w:type="dxa"/>
            <w:tcBorders>
              <w:top w:val="singl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textDirection w:val="lrTb"/>
            <w:vAlign w:val="bottom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Фамилия, имя и отчество (при наличии последнего)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5170" w:type="dxa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textDirection w:val="lrTb"/>
            <w:vAlign w:val="center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240" w:lineRule="exact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tbl>
      <w:tblPr>
        <w:tblW w:w="9828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951"/>
      </w:tblGrid>
      <w:tr>
        <w:trPr>
          <w:trHeight w:val="630"/>
        </w:trPr>
        <w:tblPrEx/>
        <w:tc>
          <w:tcPr>
            <w:tcW w:w="4878" w:type="dxa"/>
            <w:shd w:val="clear" w:color="000000" w:fill="f2f2f2"/>
            <w:noWrap/>
            <w:textDirection w:val="lrTb"/>
            <w:vAlign w:val="center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4"/>
                <w:szCs w:val="24"/>
                <w:highlight w:val="white"/>
              </w:rPr>
              <w:t xml:space="preserve">Дата заполнения анкеты: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W w:w="4951" w:type="dxa"/>
            <w:shd w:val="clear" w:color="000000" w:fill="f2f2f2"/>
            <w:noWrap/>
            <w:textDirection w:val="lrTb"/>
            <w:vAlign w:val="center"/>
          </w:tcPr>
          <w:p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«_____» ___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  <w:lang w:val="en-US"/>
              </w:rPr>
              <w:t xml:space="preserve">_______________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4"/>
                <w:szCs w:val="24"/>
                <w:highlight w:val="white"/>
              </w:rPr>
              <w:t xml:space="preserve">___________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300" w:lineRule="exac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spacing w:before="0" w:beforeAutospacing="0" w:after="0" w:afterAutospacing="0" w:line="300" w:lineRule="exact"/>
        <w:jc w:val="center"/>
        <w:rPr>
          <w:rFonts w:ascii="Liberation Serif" w:hAnsi="Liberation Serif" w:cs="Liberation Serif"/>
          <w:b/>
          <w:color w:val="0d0d0d" w:themeColor="text1" w:themeTint="F2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color w:val="0d0d0d" w:themeColor="text1" w:themeTint="F2"/>
          <w:sz w:val="24"/>
          <w:szCs w:val="24"/>
          <w:highlight w:val="white"/>
        </w:rPr>
        <w:t xml:space="preserve">Заполняется работником Организации (отметки о приёме)</w:t>
      </w:r>
      <w:r>
        <w:rPr>
          <w:rFonts w:ascii="Liberation Serif" w:hAnsi="Liberation Serif" w:cs="Liberation Serif"/>
          <w:b/>
          <w:color w:val="0d0d0d" w:themeColor="text1" w:themeTint="F2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color w:val="0d0d0d" w:themeColor="text1" w:themeTint="F2"/>
          <w:sz w:val="24"/>
          <w:szCs w:val="24"/>
          <w:highlight w:val="white"/>
        </w:rPr>
      </w:r>
    </w:p>
    <w:tbl>
      <w:tblPr>
        <w:tblW w:w="981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2"/>
        <w:gridCol w:w="2551"/>
        <w:gridCol w:w="2159"/>
      </w:tblGrid>
      <w:tr>
        <w:trPr>
          <w:trHeight w:val="426"/>
        </w:trPr>
        <w:tblPrEx/>
        <w:tc>
          <w:tcPr>
            <w:tcW w:w="2551" w:type="dxa"/>
            <w:shd w:val="clear" w:color="ffffff" w:fill="f2f2f2" w:themeFill="background1" w:themeFillShade="F2"/>
            <w:noWrap w:val="false"/>
            <w:textDirection w:val="lrTb"/>
            <w:vAlign w:val="bottom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  <w:t xml:space="preserve">Дата приема</w:t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tcW w:w="2552" w:type="dxa"/>
            <w:shd w:val="clear" w:color="ffffff" w:fill="f2f2f2" w:themeFill="background1" w:themeFillShade="F2"/>
            <w:noWrap w:val="false"/>
            <w:textDirection w:val="lrTb"/>
            <w:vAlign w:val="bottom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shd w:val="clear" w:color="ffffff" w:fill="f2f2f2" w:themeFill="background1" w:themeFillShade="F2"/>
            <w:noWrap w:val="false"/>
            <w:textDirection w:val="lrTb"/>
            <w:vAlign w:val="bottom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  <w:t xml:space="preserve">Входящий номер</w:t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tcW w:w="2159" w:type="dxa"/>
            <w:shd w:val="clear" w:color="ffffff" w:fill="f2f2f2" w:themeFill="background1" w:themeFillShade="F2"/>
            <w:noWrap w:val="false"/>
            <w:textDirection w:val="lrTb"/>
            <w:vAlign w:val="bottom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</w:tr>
      <w:tr>
        <w:trPr>
          <w:trHeight w:val="410"/>
        </w:trPr>
        <w:tblPrEx/>
        <w:tc>
          <w:tcPr>
            <w:tcW w:w="2551" w:type="dxa"/>
            <w:shd w:val="clear" w:color="ffffff" w:fill="f2f2f2" w:themeFill="background1" w:themeFillShade="F2"/>
            <w:noWrap w:val="false"/>
            <w:textDirection w:val="lrTb"/>
            <w:vAlign w:val="bottom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  <w:t xml:space="preserve">Подпись сотрудника</w:t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  <w:tc>
          <w:tcPr>
            <w:tcW w:w="7262" w:type="dxa"/>
            <w:gridSpan w:val="3"/>
            <w:shd w:val="clear" w:color="ffffff" w:fill="f2f2f2" w:themeFill="background1" w:themeFillShade="F2"/>
            <w:noWrap w:val="false"/>
            <w:textDirection w:val="lrTb"/>
            <w:vAlign w:val="bottom"/>
          </w:tcPr>
          <w:p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color w:val="0d0d0d" w:themeColor="text1" w:themeTint="F2"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300" w:lineRule="exact"/>
        <w:rPr>
          <w:rFonts w:ascii="Liberation Serif" w:hAnsi="Liberation Serif" w:cs="Liberation Serif"/>
          <w:b/>
          <w:i/>
          <w:color w:val="404040" w:themeColor="text1" w:themeTint="B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i/>
          <w:color w:val="404040" w:themeColor="text1" w:themeTint="BF"/>
          <w:sz w:val="24"/>
          <w:szCs w:val="24"/>
          <w:highlight w:val="white"/>
        </w:rPr>
      </w:r>
    </w:p>
    <w:p>
      <w:pPr>
        <w:spacing w:before="0" w:beforeAutospacing="0" w:after="0" w:afterAutospacing="0" w:line="300" w:lineRule="exact"/>
        <w:jc w:val="right"/>
        <w:rPr>
          <w:rFonts w:ascii="Liberation Serif" w:hAnsi="Liberation Serif" w:cs="Liberation Serif"/>
          <w:b/>
          <w:i/>
          <w:color w:val="404040" w:themeColor="text1" w:themeTint="B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i/>
          <w:color w:val="404040" w:themeColor="text1" w:themeTint="BF"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i/>
          <w:color w:val="404040" w:themeColor="text1" w:themeTint="BF"/>
          <w:sz w:val="24"/>
          <w:szCs w:val="24"/>
          <w:highlight w:val="white"/>
        </w:rPr>
      </w:r>
    </w:p>
    <w:p>
      <w:pPr>
        <w:spacing w:before="0" w:beforeAutospacing="0" w:after="0" w:afterAutospacing="0" w:line="300" w:lineRule="exact"/>
        <w:jc w:val="right"/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  <w:vertAlign w:val="superscript"/>
        </w:rPr>
      </w:pP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  <w:vertAlign w:val="superscript"/>
        </w:rPr>
      </w: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  <w:vertAlign w:val="superscript"/>
        </w:rPr>
      </w: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  <w:vertAlign w:val="superscript"/>
        </w:rPr>
      </w:r>
    </w:p>
    <w:p>
      <w:pPr>
        <w:spacing w:before="0" w:beforeAutospacing="0" w:after="0" w:afterAutospacing="0" w:line="300" w:lineRule="exact"/>
        <w:jc w:val="right"/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  <w:vertAlign w:val="superscript"/>
        </w:rPr>
      </w:pP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  <w:vertAlign w:val="superscript"/>
        </w:rPr>
      </w: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  <w:vertAlign w:val="superscript"/>
        </w:rPr>
      </w:r>
      <w:r>
        <w:rPr>
          <w:rFonts w:ascii="Liberation Serif" w:hAnsi="Liberation Serif" w:cs="Liberation Serif"/>
          <w:b/>
          <w:bCs/>
          <w:i/>
          <w:color w:val="404040" w:themeColor="text1" w:themeTint="BF"/>
          <w:sz w:val="24"/>
          <w:szCs w:val="24"/>
          <w:highlight w:val="white"/>
          <w:vertAlign w:val="superscript"/>
        </w:rPr>
      </w:r>
    </w:p>
    <w:p>
      <w:pPr>
        <w:spacing w:before="0" w:beforeAutospacing="0" w:after="0" w:afterAutospacing="0"/>
      </w:pP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ind w:left="720"/>
      <w:contextualSpacing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Body Text"/>
    <w:basedOn w:val="1377"/>
    <w:link w:val="1477"/>
    <w:uiPriority w:val="99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seryakova_en</cp:lastModifiedBy>
  <cp:revision>1</cp:revision>
  <dcterms:modified xsi:type="dcterms:W3CDTF">2025-10-21T12:17:43Z</dcterms:modified>
</cp:coreProperties>
</file>